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58715" w14:textId="080C572D" w:rsidR="0004778A" w:rsidRDefault="00710587" w:rsidP="00710587">
      <w:pPr>
        <w:jc w:val="center"/>
      </w:pPr>
      <w:r>
        <w:t>Executive Summary</w:t>
      </w:r>
    </w:p>
    <w:p w14:paraId="2B8BE536" w14:textId="39F93E35" w:rsidR="00710587" w:rsidRDefault="00710587" w:rsidP="00710587">
      <w:pPr>
        <w:rPr>
          <w:b/>
          <w:bCs/>
        </w:rPr>
      </w:pPr>
      <w:r>
        <w:rPr>
          <w:b/>
          <w:bCs/>
        </w:rPr>
        <w:t>Summary of Ability and Desire to Supply the Required Products or Services for the Region</w:t>
      </w:r>
    </w:p>
    <w:p w14:paraId="50E19B45" w14:textId="1E990D99" w:rsidR="00710587" w:rsidRDefault="00710587" w:rsidP="00710587">
      <w:proofErr w:type="gramStart"/>
      <w:r>
        <w:t>Safe Haven</w:t>
      </w:r>
      <w:proofErr w:type="gramEnd"/>
      <w:r>
        <w:t xml:space="preserve"> Recovery Engagement Center is a 501c3 non-profit organization currently operating as a </w:t>
      </w:r>
      <w:r w:rsidR="00155427">
        <w:t xml:space="preserve">Certified </w:t>
      </w:r>
      <w:r>
        <w:t>Regional Recovery Hub since 2020. It is Safe Haven REC’s desire to supply peer recovery coaching and holistic, inclusive wrap around services to people with substance use disorder</w:t>
      </w:r>
      <w:r w:rsidR="00155427">
        <w:t xml:space="preserve"> per the Scope of Work listed</w:t>
      </w:r>
      <w:r>
        <w:t xml:space="preserve">. Safe Haven REC requests and has the ability to supply these services to </w:t>
      </w:r>
      <w:proofErr w:type="gramStart"/>
      <w:r>
        <w:t>Region</w:t>
      </w:r>
      <w:proofErr w:type="gramEnd"/>
      <w:r>
        <w:t xml:space="preserve"> 5, of which we are located. </w:t>
      </w:r>
    </w:p>
    <w:p w14:paraId="3B47FD4E" w14:textId="61444F8D" w:rsidR="00710587" w:rsidRDefault="00710587" w:rsidP="00710587">
      <w:pPr>
        <w:rPr>
          <w:b/>
          <w:bCs/>
        </w:rPr>
      </w:pPr>
      <w:r>
        <w:rPr>
          <w:b/>
          <w:bCs/>
        </w:rPr>
        <w:t>Signature of Authorized Representative</w:t>
      </w:r>
    </w:p>
    <w:p w14:paraId="031BD70F" w14:textId="3DC400AC" w:rsidR="00710587" w:rsidRDefault="009340F0" w:rsidP="00710587">
      <w:pPr>
        <w:pBdr>
          <w:bottom w:val="single" w:sz="12" w:space="1" w:color="auto"/>
        </w:pBdr>
        <w:rPr>
          <w:b/>
          <w:bCs/>
        </w:rPr>
      </w:pPr>
      <w:r>
        <w:rPr>
          <w:b/>
          <w:bCs/>
          <w:noProof/>
        </w:rPr>
        <mc:AlternateContent>
          <mc:Choice Requires="aink">
            <w:drawing>
              <wp:anchor distT="0" distB="0" distL="114300" distR="114300" simplePos="0" relativeHeight="251680768" behindDoc="0" locked="0" layoutInCell="1" allowOverlap="1" wp14:anchorId="0ADC418A" wp14:editId="569BDB68">
                <wp:simplePos x="0" y="0"/>
                <wp:positionH relativeFrom="column">
                  <wp:posOffset>328930</wp:posOffset>
                </wp:positionH>
                <wp:positionV relativeFrom="paragraph">
                  <wp:posOffset>-147320</wp:posOffset>
                </wp:positionV>
                <wp:extent cx="3649990" cy="669290"/>
                <wp:effectExtent l="57150" t="38100" r="26670" b="54610"/>
                <wp:wrapNone/>
                <wp:docPr id="1970842644" name="Ink 22"/>
                <wp:cNvGraphicFramePr/>
                <a:graphic xmlns:a="http://schemas.openxmlformats.org/drawingml/2006/main">
                  <a:graphicData uri="http://schemas.microsoft.com/office/word/2010/wordprocessingInk">
                    <w14:contentPart bwMode="auto" r:id="rId5">
                      <w14:nvContentPartPr>
                        <w14:cNvContentPartPr/>
                      </w14:nvContentPartPr>
                      <w14:xfrm>
                        <a:off x="0" y="0"/>
                        <a:ext cx="3649990" cy="669290"/>
                      </w14:xfrm>
                    </w14:contentPart>
                  </a:graphicData>
                </a:graphic>
              </wp:anchor>
            </w:drawing>
          </mc:Choice>
          <mc:Fallback>
            <w:drawing>
              <wp:anchor distT="0" distB="0" distL="114300" distR="114300" simplePos="0" relativeHeight="251680768" behindDoc="0" locked="0" layoutInCell="1" allowOverlap="1" wp14:anchorId="0ADC418A" wp14:editId="569BDB68">
                <wp:simplePos x="0" y="0"/>
                <wp:positionH relativeFrom="column">
                  <wp:posOffset>328930</wp:posOffset>
                </wp:positionH>
                <wp:positionV relativeFrom="paragraph">
                  <wp:posOffset>-147320</wp:posOffset>
                </wp:positionV>
                <wp:extent cx="3649990" cy="669290"/>
                <wp:effectExtent l="57150" t="38100" r="26670" b="54610"/>
                <wp:wrapNone/>
                <wp:docPr id="1970842644" name="Ink 22"/>
                <wp:cNvGraphicFramePr/>
                <a:graphic xmlns:a="http://schemas.openxmlformats.org/drawingml/2006/main">
                  <a:graphicData uri="http://schemas.openxmlformats.org/drawingml/2006/picture">
                    <pic:pic xmlns:pic="http://schemas.openxmlformats.org/drawingml/2006/picture">
                      <pic:nvPicPr>
                        <pic:cNvPr id="1970842644" name="Ink 22"/>
                        <pic:cNvPicPr/>
                      </pic:nvPicPr>
                      <pic:blipFill>
                        <a:blip r:embed="rId6"/>
                        <a:stretch>
                          <a:fillRect/>
                        </a:stretch>
                      </pic:blipFill>
                      <pic:spPr>
                        <a:xfrm>
                          <a:off x="0" y="0"/>
                          <a:ext cx="3667630" cy="776880"/>
                        </a:xfrm>
                        <a:prstGeom prst="rect">
                          <a:avLst/>
                        </a:prstGeom>
                      </pic:spPr>
                    </pic:pic>
                  </a:graphicData>
                </a:graphic>
              </wp:anchor>
            </w:drawing>
          </mc:Fallback>
        </mc:AlternateContent>
      </w:r>
      <w:r>
        <w:rPr>
          <w:b/>
          <w:bCs/>
          <w:noProof/>
        </w:rPr>
        <mc:AlternateContent>
          <mc:Choice Requires="aink">
            <w:drawing>
              <wp:anchor distT="0" distB="0" distL="114300" distR="114300" simplePos="0" relativeHeight="251659264" behindDoc="0" locked="0" layoutInCell="1" allowOverlap="1" wp14:anchorId="2CBFE284" wp14:editId="4479F80A">
                <wp:simplePos x="0" y="0"/>
                <wp:positionH relativeFrom="column">
                  <wp:posOffset>456555</wp:posOffset>
                </wp:positionH>
                <wp:positionV relativeFrom="paragraph">
                  <wp:posOffset>-22565</wp:posOffset>
                </wp:positionV>
                <wp:extent cx="16920" cy="244080"/>
                <wp:effectExtent l="57150" t="38100" r="40640" b="41910"/>
                <wp:wrapNone/>
                <wp:docPr id="350097534" name="Ink 1"/>
                <wp:cNvGraphicFramePr/>
                <a:graphic xmlns:a="http://schemas.openxmlformats.org/drawingml/2006/main">
                  <a:graphicData uri="http://schemas.microsoft.com/office/word/2010/wordprocessingInk">
                    <w14:contentPart bwMode="auto" r:id="rId7">
                      <w14:nvContentPartPr>
                        <w14:cNvContentPartPr/>
                      </w14:nvContentPartPr>
                      <w14:xfrm>
                        <a:off x="0" y="0"/>
                        <a:ext cx="16920" cy="244080"/>
                      </w14:xfrm>
                    </w14:contentPart>
                  </a:graphicData>
                </a:graphic>
              </wp:anchor>
            </w:drawing>
          </mc:Choice>
          <mc:Fallback>
            <w:drawing>
              <wp:anchor distT="0" distB="0" distL="114300" distR="114300" simplePos="0" relativeHeight="251659264" behindDoc="0" locked="0" layoutInCell="1" allowOverlap="1" wp14:anchorId="2CBFE284" wp14:editId="4479F80A">
                <wp:simplePos x="0" y="0"/>
                <wp:positionH relativeFrom="column">
                  <wp:posOffset>456555</wp:posOffset>
                </wp:positionH>
                <wp:positionV relativeFrom="paragraph">
                  <wp:posOffset>-22565</wp:posOffset>
                </wp:positionV>
                <wp:extent cx="16920" cy="244080"/>
                <wp:effectExtent l="57150" t="38100" r="40640" b="41910"/>
                <wp:wrapNone/>
                <wp:docPr id="350097534" name="Ink 1"/>
                <wp:cNvGraphicFramePr/>
                <a:graphic xmlns:a="http://schemas.openxmlformats.org/drawingml/2006/main">
                  <a:graphicData uri="http://schemas.openxmlformats.org/drawingml/2006/picture">
                    <pic:pic xmlns:pic="http://schemas.openxmlformats.org/drawingml/2006/picture">
                      <pic:nvPicPr>
                        <pic:cNvPr id="350097534" name="Ink 1"/>
                        <pic:cNvPicPr/>
                      </pic:nvPicPr>
                      <pic:blipFill>
                        <a:blip r:embed="rId8"/>
                        <a:stretch>
                          <a:fillRect/>
                        </a:stretch>
                      </pic:blipFill>
                      <pic:spPr>
                        <a:xfrm>
                          <a:off x="0" y="0"/>
                          <a:ext cx="34560" cy="351720"/>
                        </a:xfrm>
                        <a:prstGeom prst="rect">
                          <a:avLst/>
                        </a:prstGeom>
                      </pic:spPr>
                    </pic:pic>
                  </a:graphicData>
                </a:graphic>
              </wp:anchor>
            </w:drawing>
          </mc:Fallback>
        </mc:AlternateContent>
      </w:r>
    </w:p>
    <w:p w14:paraId="1A6BE6EA" w14:textId="0452A10A" w:rsidR="00710587" w:rsidRDefault="00710587" w:rsidP="00710587">
      <w:pPr>
        <w:rPr>
          <w:b/>
          <w:bCs/>
        </w:rPr>
      </w:pPr>
      <w:r>
        <w:rPr>
          <w:b/>
          <w:bCs/>
        </w:rPr>
        <w:t>Brittany Stout FNP-C, Board President of Safe Haven REC</w:t>
      </w:r>
    </w:p>
    <w:p w14:paraId="0D35EE9E" w14:textId="22A8D274" w:rsidR="00710587" w:rsidRDefault="00710587" w:rsidP="00710587">
      <w:pPr>
        <w:rPr>
          <w:b/>
          <w:bCs/>
        </w:rPr>
      </w:pPr>
      <w:r>
        <w:rPr>
          <w:b/>
          <w:bCs/>
        </w:rPr>
        <w:t xml:space="preserve">Principal Contact: </w:t>
      </w:r>
    </w:p>
    <w:p w14:paraId="762B4685" w14:textId="1602D535" w:rsidR="00710587" w:rsidRDefault="00710587" w:rsidP="00710587">
      <w:r>
        <w:t xml:space="preserve">Brittany Stout * 308 S. Oak St. Paoli, IN 47454 * 812-653-8244 * </w:t>
      </w:r>
      <w:r w:rsidRPr="00710587">
        <w:t>bstout@safehavenrec.com</w:t>
      </w:r>
      <w:r>
        <w:t xml:space="preserve"> </w:t>
      </w:r>
    </w:p>
    <w:p w14:paraId="085C5CCF" w14:textId="799C2026" w:rsidR="00710587" w:rsidRDefault="00710587" w:rsidP="00710587">
      <w:pPr>
        <w:rPr>
          <w:b/>
          <w:bCs/>
        </w:rPr>
      </w:pPr>
      <w:r>
        <w:rPr>
          <w:b/>
          <w:bCs/>
        </w:rPr>
        <w:t>Secretary of State</w:t>
      </w:r>
    </w:p>
    <w:p w14:paraId="53820A9D" w14:textId="78CD423A" w:rsidR="00710587" w:rsidRDefault="00710587" w:rsidP="00710587">
      <w:proofErr w:type="gramStart"/>
      <w:r>
        <w:t>Safe Haven</w:t>
      </w:r>
      <w:proofErr w:type="gramEnd"/>
      <w:r>
        <w:t xml:space="preserve"> REC is active and registered with the Secretary of State as evidenced by the PDF file attached on the flash drive. Certificate requested as of August 7</w:t>
      </w:r>
      <w:r w:rsidRPr="00710587">
        <w:rPr>
          <w:vertAlign w:val="superscript"/>
        </w:rPr>
        <w:t>th</w:t>
      </w:r>
      <w:r>
        <w:t xml:space="preserve">, 2024. </w:t>
      </w:r>
    </w:p>
    <w:p w14:paraId="4BD0C636" w14:textId="424188A0" w:rsidR="00710587" w:rsidRDefault="00710587" w:rsidP="00710587">
      <w:pPr>
        <w:rPr>
          <w:b/>
          <w:bCs/>
        </w:rPr>
      </w:pPr>
      <w:r>
        <w:rPr>
          <w:b/>
          <w:bCs/>
        </w:rPr>
        <w:t>Mandatory Requirements</w:t>
      </w:r>
    </w:p>
    <w:p w14:paraId="4C5334D4" w14:textId="15B70E36" w:rsidR="00710587" w:rsidRDefault="00710587" w:rsidP="00710587">
      <w:proofErr w:type="gramStart"/>
      <w:r>
        <w:t>Safe Haven</w:t>
      </w:r>
      <w:proofErr w:type="gramEnd"/>
      <w:r>
        <w:t xml:space="preserve"> REC meets the mandatory requirements as set forth in Section 3.2. This includes that we hold an active Certification as an RCO as evidenced by our attached Certificate on the flash drive. Submitted includes the executive summary, attachment C, attachment D, and attachment E. Submitted includes attachment G and supporting documents. </w:t>
      </w:r>
    </w:p>
    <w:p w14:paraId="2B0130B4" w14:textId="5B3F097F" w:rsidR="00710587" w:rsidRDefault="00710587" w:rsidP="00710587">
      <w:pPr>
        <w:rPr>
          <w:b/>
          <w:bCs/>
        </w:rPr>
      </w:pPr>
      <w:r>
        <w:rPr>
          <w:b/>
          <w:bCs/>
        </w:rPr>
        <w:t>Other Information (</w:t>
      </w:r>
      <w:proofErr w:type="gramStart"/>
      <w:r>
        <w:rPr>
          <w:b/>
          <w:bCs/>
        </w:rPr>
        <w:t>1000 word</w:t>
      </w:r>
      <w:proofErr w:type="gramEnd"/>
      <w:r>
        <w:rPr>
          <w:b/>
          <w:bCs/>
        </w:rPr>
        <w:t xml:space="preserve"> limit)</w:t>
      </w:r>
      <w:r w:rsidR="00CE71A0">
        <w:rPr>
          <w:b/>
          <w:bCs/>
        </w:rPr>
        <w:t xml:space="preserve"> Total words 698</w:t>
      </w:r>
    </w:p>
    <w:p w14:paraId="619B54DA" w14:textId="20569F4E" w:rsidR="00760E3F" w:rsidRDefault="00710587" w:rsidP="00710587">
      <w:proofErr w:type="gramStart"/>
      <w:r>
        <w:t>Safe Haven</w:t>
      </w:r>
      <w:proofErr w:type="gramEnd"/>
      <w:r>
        <w:t xml:space="preserve"> REC currently operates as a Regional Recovery Hub serving 9 counties, 8 of which are in the proposed Region 5. </w:t>
      </w:r>
      <w:proofErr w:type="gramStart"/>
      <w:r w:rsidR="00760E3F">
        <w:t>Safe Haven</w:t>
      </w:r>
      <w:proofErr w:type="gramEnd"/>
      <w:r w:rsidR="00760E3F">
        <w:t xml:space="preserve"> REC was founded in 2018 as a 501c3 non-profit organization initially providing treatment access and resource support. Very quickly we realized that our community needed </w:t>
      </w:r>
      <w:proofErr w:type="gramStart"/>
      <w:r w:rsidR="00760E3F">
        <w:t>more</w:t>
      </w:r>
      <w:proofErr w:type="gramEnd"/>
      <w:r w:rsidR="00760E3F">
        <w:t xml:space="preserve"> and we actively engaged with stakeholders around the state to transform into a Recovery Community Organization. We became a Certified RCO in 2023. Safe Have REC was founded out of tragedy. Our board president’s brother died of a heroin/fentanyl overdose in 2018 at 25 years old. The story is not unique to her family, but the tragedy brought with it a quest for answers. Why did he not sustain his recovery? What was he missing? Ultimately, with Safe Haven REC, we created the </w:t>
      </w:r>
      <w:r w:rsidR="00760E3F">
        <w:lastRenderedPageBreak/>
        <w:t xml:space="preserve">environment and recovery support that we felt it would have taken for her brother to have found and sustained recovery from his substance use. </w:t>
      </w:r>
      <w:proofErr w:type="gramStart"/>
      <w:r w:rsidR="00760E3F">
        <w:t>Safe Haven</w:t>
      </w:r>
      <w:proofErr w:type="gramEnd"/>
      <w:r w:rsidR="00760E3F">
        <w:t xml:space="preserve"> REC now offers free services to include peer recovery coaching, harm reduction supplies, transportation, safe space in our physical location, food support, hygiene support, jail support, peer support meetings, and community education and awareness. We fight tirelessly to ensure that everybody has access and a chance at recovery. Beyond these services, we have partnered with another organization to utilize our building to o</w:t>
      </w:r>
      <w:r w:rsidR="000B7060">
        <w:t>ff</w:t>
      </w:r>
      <w:r w:rsidR="00760E3F">
        <w:t xml:space="preserve">er Intensive Outpatient Services and are set to open our Men’s Recovery Home this fall, which will house 12 men. </w:t>
      </w:r>
    </w:p>
    <w:p w14:paraId="57BC03C1" w14:textId="77777777" w:rsidR="00760E3F" w:rsidRDefault="00710587" w:rsidP="00710587">
      <w:r>
        <w:t xml:space="preserve">While this grant will be a large part of what allows us to remain sustainable, we have actively </w:t>
      </w:r>
      <w:proofErr w:type="gramStart"/>
      <w:r>
        <w:t>searched</w:t>
      </w:r>
      <w:proofErr w:type="gramEnd"/>
      <w:r>
        <w:t xml:space="preserve"> and accepted multiple other grants that have improved our ability to serve our communities. </w:t>
      </w:r>
      <w:r w:rsidR="00760E3F">
        <w:t>Securing the RRH grant will also allow us to continue our IDOH funding. Other grants we have been able to secure include:</w:t>
      </w:r>
    </w:p>
    <w:p w14:paraId="6EECBA17" w14:textId="5AC41E4E" w:rsidR="00760E3F" w:rsidRDefault="00710587" w:rsidP="00760E3F">
      <w:pPr>
        <w:pStyle w:val="ListParagraph"/>
        <w:numPr>
          <w:ilvl w:val="0"/>
          <w:numId w:val="1"/>
        </w:numPr>
      </w:pPr>
      <w:r>
        <w:t xml:space="preserve"> IU Community Impact Investment Grant</w:t>
      </w:r>
      <w:r w:rsidR="00760E3F">
        <w:t xml:space="preserve">. This grant was $1.2 million dollars and was received in partnership with Thrive, OC; Team OC; and SICHC. Safe Haven received funds for our executive director position start up, our recovery home </w:t>
      </w:r>
      <w:proofErr w:type="gramStart"/>
      <w:r w:rsidR="00760E3F">
        <w:t>start</w:t>
      </w:r>
      <w:proofErr w:type="gramEnd"/>
      <w:r w:rsidR="00760E3F">
        <w:t xml:space="preserve"> up, and helping initiate Intensive Outpatient Services. </w:t>
      </w:r>
    </w:p>
    <w:p w14:paraId="027A27AC" w14:textId="3ADA3A28" w:rsidR="00760E3F" w:rsidRDefault="00710587" w:rsidP="00760E3F">
      <w:pPr>
        <w:pStyle w:val="ListParagraph"/>
        <w:numPr>
          <w:ilvl w:val="0"/>
          <w:numId w:val="1"/>
        </w:numPr>
      </w:pPr>
      <w:r>
        <w:t>Opioid Settlement Match Grant through DMHA</w:t>
      </w:r>
      <w:r w:rsidR="00760E3F">
        <w:t xml:space="preserve">. This grant pulled together our towns in Orange County as they provided the match funds and allowed us to place a coach into Orange County Jail; a coach in our local FQHC clinic for our MAR clients; initiate our Harm Reduction Mobile Unit; and expand our transportation program. </w:t>
      </w:r>
    </w:p>
    <w:p w14:paraId="4A974141" w14:textId="778D2C6E" w:rsidR="00760E3F" w:rsidRDefault="00710587" w:rsidP="00760E3F">
      <w:pPr>
        <w:pStyle w:val="ListParagraph"/>
        <w:numPr>
          <w:ilvl w:val="0"/>
          <w:numId w:val="1"/>
        </w:numPr>
      </w:pPr>
      <w:r>
        <w:t xml:space="preserve"> Lilly Endowment Match grant through Orange County Community Foundation</w:t>
      </w:r>
      <w:r w:rsidR="00760E3F">
        <w:t xml:space="preserve">. This grant was again possible with all our local towns in Orange County offering match funds to allow us to help fund renovations needed in the Orange County jail; provide support to our hygiene program at the </w:t>
      </w:r>
      <w:proofErr w:type="gramStart"/>
      <w:r w:rsidR="00760E3F">
        <w:t>jail;  training</w:t>
      </w:r>
      <w:proofErr w:type="gramEnd"/>
      <w:r w:rsidR="00760E3F">
        <w:t xml:space="preserve"> support for our executive director; provide education resources in the jail; and ensure all inmates have access to medical care by covering any costs for care while incarcerated. </w:t>
      </w:r>
    </w:p>
    <w:p w14:paraId="493461A1" w14:textId="77777777" w:rsidR="00760E3F" w:rsidRDefault="00710587" w:rsidP="00760E3F">
      <w:pPr>
        <w:pStyle w:val="ListParagraph"/>
        <w:numPr>
          <w:ilvl w:val="0"/>
          <w:numId w:val="1"/>
        </w:numPr>
      </w:pPr>
      <w:r>
        <w:t>Transportation Grant through DM</w:t>
      </w:r>
      <w:r w:rsidR="00760E3F">
        <w:t>HA</w:t>
      </w:r>
      <w:r>
        <w:t xml:space="preserve">. </w:t>
      </w:r>
      <w:r w:rsidR="00760E3F">
        <w:t xml:space="preserve">This grant has been hugely successful and has allowed us to sustain and offer free transportation to anybody in the criminal justice system. From this grant, we have been able to expand to other counties such as Dubois County, with their community foundation working on ways to find monetary support to expand. </w:t>
      </w:r>
    </w:p>
    <w:p w14:paraId="27116B13" w14:textId="6BF12715" w:rsidR="00760E3F" w:rsidRDefault="00710587" w:rsidP="00760E3F">
      <w:r>
        <w:t xml:space="preserve">We are well versed in grant management, grant reporting, and grant requirements. We have served as a Regional Recovery Hub for 4 years now and have been a key player in ensuring services are available to </w:t>
      </w:r>
      <w:proofErr w:type="gramStart"/>
      <w:r>
        <w:t>Orange  and</w:t>
      </w:r>
      <w:proofErr w:type="gramEnd"/>
      <w:r>
        <w:t xml:space="preserve"> surrounding counties. We also know that this change in how the hubs </w:t>
      </w:r>
      <w:proofErr w:type="gramStart"/>
      <w:r>
        <w:t>are</w:t>
      </w:r>
      <w:proofErr w:type="gramEnd"/>
      <w:r>
        <w:t xml:space="preserve"> managed and serve the community, </w:t>
      </w:r>
      <w:r w:rsidR="000B7060">
        <w:t xml:space="preserve">that </w:t>
      </w:r>
      <w:r>
        <w:t xml:space="preserve">we cannot do this alone. We are excited to subcontract and partner with another hub, RISE Recovery, out of Daviess </w:t>
      </w:r>
      <w:r>
        <w:lastRenderedPageBreak/>
        <w:t xml:space="preserve">County. We believe partnering allows us the best chance at success to ensure we can manage all 13 counties in the newly proposed Region 5. </w:t>
      </w:r>
      <w:r w:rsidR="00760E3F">
        <w:t xml:space="preserve">We each bring valuable skills to the table. RISE Recovery is well versed in IRACs and has served in jails and hospitals, while we have skills at engaging community stakeholders for wrap around services, including our coaching program. </w:t>
      </w:r>
    </w:p>
    <w:p w14:paraId="74CA788D" w14:textId="09F5406B" w:rsidR="00710587" w:rsidRPr="00710587" w:rsidRDefault="00760E3F" w:rsidP="00760E3F">
      <w:r>
        <w:t xml:space="preserve">We firmly believe that Safe Haven REC is not only capable and </w:t>
      </w:r>
      <w:proofErr w:type="gramStart"/>
      <w:r>
        <w:t>willing, but</w:t>
      </w:r>
      <w:proofErr w:type="gramEnd"/>
      <w:r>
        <w:t xml:space="preserve"> can excel at providing services to the new Region 5 covering the 13 counties in our region.  </w:t>
      </w:r>
    </w:p>
    <w:sectPr w:rsidR="00710587" w:rsidRPr="007105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D8519B"/>
    <w:multiLevelType w:val="hybridMultilevel"/>
    <w:tmpl w:val="B9AED7D4"/>
    <w:lvl w:ilvl="0" w:tplc="2674800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80672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587"/>
    <w:rsid w:val="0004778A"/>
    <w:rsid w:val="00066446"/>
    <w:rsid w:val="000B7060"/>
    <w:rsid w:val="00155427"/>
    <w:rsid w:val="00502583"/>
    <w:rsid w:val="00710587"/>
    <w:rsid w:val="00760E3F"/>
    <w:rsid w:val="008D6B0C"/>
    <w:rsid w:val="009340F0"/>
    <w:rsid w:val="00AD3379"/>
    <w:rsid w:val="00CE7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C27FF"/>
  <w15:chartTrackingRefBased/>
  <w15:docId w15:val="{A87AF065-57C3-467C-BDA0-D7D1B3BDA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05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05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05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05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05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05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05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05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05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5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05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05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05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05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05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05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05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0587"/>
    <w:rPr>
      <w:rFonts w:eastAsiaTheme="majorEastAsia" w:cstheme="majorBidi"/>
      <w:color w:val="272727" w:themeColor="text1" w:themeTint="D8"/>
    </w:rPr>
  </w:style>
  <w:style w:type="paragraph" w:styleId="Title">
    <w:name w:val="Title"/>
    <w:basedOn w:val="Normal"/>
    <w:next w:val="Normal"/>
    <w:link w:val="TitleChar"/>
    <w:uiPriority w:val="10"/>
    <w:qFormat/>
    <w:rsid w:val="007105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05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05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05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0587"/>
    <w:pPr>
      <w:spacing w:before="160"/>
      <w:jc w:val="center"/>
    </w:pPr>
    <w:rPr>
      <w:i/>
      <w:iCs/>
      <w:color w:val="404040" w:themeColor="text1" w:themeTint="BF"/>
    </w:rPr>
  </w:style>
  <w:style w:type="character" w:customStyle="1" w:styleId="QuoteChar">
    <w:name w:val="Quote Char"/>
    <w:basedOn w:val="DefaultParagraphFont"/>
    <w:link w:val="Quote"/>
    <w:uiPriority w:val="29"/>
    <w:rsid w:val="00710587"/>
    <w:rPr>
      <w:i/>
      <w:iCs/>
      <w:color w:val="404040" w:themeColor="text1" w:themeTint="BF"/>
    </w:rPr>
  </w:style>
  <w:style w:type="paragraph" w:styleId="ListParagraph">
    <w:name w:val="List Paragraph"/>
    <w:basedOn w:val="Normal"/>
    <w:uiPriority w:val="34"/>
    <w:qFormat/>
    <w:rsid w:val="00710587"/>
    <w:pPr>
      <w:ind w:left="720"/>
      <w:contextualSpacing/>
    </w:pPr>
  </w:style>
  <w:style w:type="character" w:styleId="IntenseEmphasis">
    <w:name w:val="Intense Emphasis"/>
    <w:basedOn w:val="DefaultParagraphFont"/>
    <w:uiPriority w:val="21"/>
    <w:qFormat/>
    <w:rsid w:val="00710587"/>
    <w:rPr>
      <w:i/>
      <w:iCs/>
      <w:color w:val="0F4761" w:themeColor="accent1" w:themeShade="BF"/>
    </w:rPr>
  </w:style>
  <w:style w:type="paragraph" w:styleId="IntenseQuote">
    <w:name w:val="Intense Quote"/>
    <w:basedOn w:val="Normal"/>
    <w:next w:val="Normal"/>
    <w:link w:val="IntenseQuoteChar"/>
    <w:uiPriority w:val="30"/>
    <w:qFormat/>
    <w:rsid w:val="007105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0587"/>
    <w:rPr>
      <w:i/>
      <w:iCs/>
      <w:color w:val="0F4761" w:themeColor="accent1" w:themeShade="BF"/>
    </w:rPr>
  </w:style>
  <w:style w:type="character" w:styleId="IntenseReference">
    <w:name w:val="Intense Reference"/>
    <w:basedOn w:val="DefaultParagraphFont"/>
    <w:uiPriority w:val="32"/>
    <w:qFormat/>
    <w:rsid w:val="00710587"/>
    <w:rPr>
      <w:b/>
      <w:bCs/>
      <w:smallCaps/>
      <w:color w:val="0F4761" w:themeColor="accent1" w:themeShade="BF"/>
      <w:spacing w:val="5"/>
    </w:rPr>
  </w:style>
  <w:style w:type="character" w:styleId="Hyperlink">
    <w:name w:val="Hyperlink"/>
    <w:basedOn w:val="DefaultParagraphFont"/>
    <w:uiPriority w:val="99"/>
    <w:unhideWhenUsed/>
    <w:rsid w:val="00710587"/>
    <w:rPr>
      <w:color w:val="467886" w:themeColor="hyperlink"/>
      <w:u w:val="single"/>
    </w:rPr>
  </w:style>
  <w:style w:type="character" w:styleId="UnresolvedMention">
    <w:name w:val="Unresolved Mention"/>
    <w:basedOn w:val="DefaultParagraphFont"/>
    <w:uiPriority w:val="99"/>
    <w:semiHidden/>
    <w:unhideWhenUsed/>
    <w:rsid w:val="00710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customXml" Target="ink/ink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customXml" Target="ink/ink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8-20T18:14:13.479"/>
    </inkml:context>
    <inkml:brush xml:id="br0">
      <inkml:brushProperty name="width" value="0.05" units="cm"/>
      <inkml:brushProperty name="height" value="0.3" units="cm"/>
      <inkml:brushProperty name="ignorePressure" value="1"/>
      <inkml:brushProperty name="inkEffects" value="pencil"/>
    </inkml:brush>
  </inkml:definitions>
  <inkml:trace contextRef="#ctx0" brushRef="#br0">1 430,'53'-17,"25"-6,4 2,-8 5,-12 7,-12 7,-11 7,-8 6,-5 6,-6 2,-3 1,-5 0,-4 0,-6 0,-4-1,-5 0,-5-1,-2 0,-2-2,2-1,0-3,4-2,3-4,2-3,3-1,2-1,1 0,6 2,8 2,7 3,8 1,5 3,3 3,-1 1,-2 2,-2 4,-4 3,-3 4,-5 2,-6-1,-6 1,-4-2,-4-2,-4-3,-5 0,-5-1,-6 0,-7-2,-8-2,-10-3,-11-5,-7-5,-1-5,3-5,7-2,9-3,7 1,10 1,7 2,6 3,5 0,4 1,3 1,2 1,1-1,0 1,2-1,3 0,3 2,6 0,6 2,7-1,8 1,9-2,10 1,10 0,7-1,-1-1,-4-1,-7-3,-9-2,-10-4,-5-4,-8-5,-4-6,-3-4,-3-4,-2-1,-3 0,-2 2,-1 1,-1 1,0 3,0 3,-2 7,-2 5,-2 5,-2 4,0 4,1 9,1 11,4 12,4 5,2 2,1-3,2-3,-2-8,0-6,0-6,0-7,2-4,2-4,3-5,4-9,2-7,0-5,-2-2,-3 0,-4 3,-6 6,-4 7,-3 4,-4 5,1 3,3 8,3 5,5 7,5 3,5 0,2-3,1-4,4-7,2-8,3-10,5-11,4-13,1-16,0-14,-4-6,-9 0,-7 6,-7 11,-7 12,-4 12,-4 10,-3 9,0 9,0 10,1 11,1 11,3 12,2 6,4 5,5 0,3-3,5-5,1-9,2-8,1-10,2-11,3-13,2-14,2-13,-1-10,-3-8,-7-2,-5 2,-7 5,-5 7,-5 8,-2 9,-3 9,0 5,0 8,1 12,6 16,8 16,9 15,8 5,7 0,5-7,4-12,3-15,4-14,4-16,3-13,1-10,-2-7,-4-2,-7 0,-6 1,-8 2,-8 3,-7 2,-7 2,-7 1,-8 1,-8 4,-8 3,-8 6,-6 7,1 6,1 6,5 7,6 6,9 4,6 1,8-3,6-4,7-7,3-10,8-10,4-8,2-7,-2-4,-4-1,-4 2,-5 2,-4 3,-4 4,-3 4,-3 3,-1 3,2 2,3 4,5 5,4 3,4 2,5-3,3-4,3-5,2-5,0-4,-1-2,-4-1,-4 0,-3-1,-2 0,-2 0,-1 0,0 1,-1-2,2-1,2-3,1-1,-1 1,0 2,-3 4,-2 3,-3 6,0 10,2 24,5 32,5 35,4 34,2 27,0 11,-7-8,-10-21,-12-30,-11-30,-10-29,-10-26,-5-26,-3-22,5-18,8-14,15-13,21-13,24-10,28-4,24-3,17-1,9 3,2 4,-10 10,-15 11,-24 18,-23 17</inkml:trace>
  <inkml:trace contextRef="#ctx0" brushRef="#br0" timeOffset="701.56">3138 588,'-90'23,"-70"14,-46 3,-23-4,1-9,21-9,33-8,39-5,37-3,33-3,27-1,20 1</inkml:trace>
  <inkml:trace contextRef="#ctx0" brushRef="#br0" timeOffset="1133.89">1388 391,'0'1,"0"1</inkml:trace>
  <inkml:trace contextRef="#ctx0" brushRef="#br0" timeOffset="2348.82">5588 258,'-96'-16,"-60"-4,-28 1,-2 1,14 5,23 6,29 6,27 8,27 3,24 2,18 2,17 3,15 3,17 3,22 4,26 3,28 4,24 5,17 3,3 4,-6 1,-12 2,-19-1,-22-1,-22-2,-20-6,-20-2,-16-2,-18 0,-21 0,-23-2,-22-1,-14-4,-6-5,2-4,10-5,13-3,14-5,12-3,9-4,10-1,11-1</inkml:trace>
  <inkml:trace contextRef="#ctx0" brushRef="#br0" timeOffset="2864.83">5877 303,'-17'75,"-9"39,-1 11,2-11,4-21,5-25,6-24,5-20</inkml:trace>
  <inkml:trace contextRef="#ctx0" brushRef="#br0" timeOffset="3304.55">6177 402,'-72'8,"-43"4,-19 1,0-1,10-3,17-5,27-2,27-2</inkml:trace>
  <inkml:trace contextRef="#ctx0" brushRef="#br0" timeOffset="4939.82">6150 510,'-36'49,"-14"24,-1 4,8-8,10-14,11-15,9-13,9-9,8-7,10-1,12-1,8-3,5-3,0-6,-3-4,-5-9,-6-8,-9-9,-8-9,-9-6,-6-4,-2 0,1 5,4 6,3 5,5 6,5 4,6 4,5 3,3 3,3 4,1 4,2 5,-1 6,0 8,0 7,-1 7,-3 6,-3 4,-2 5,-4 3,-4 2,-3 0,-3 0,0-3,1-3,1-6,0-5,1-5,2-8,3-5,3-8,5-11,4-11,3-9,0-10,-1-6,-4 0,-3 3,-6 8,-5 9,-5 9,-2 8,-1 4,-2 6,0 6,1 8,3 7,2 5,2 0,1-1,0-4,2-4,1-6,3-6,5-7,4-11,7-11,6-18,2-20,-1-15,-6-15,-7-13,-7-2,-7 8,-4 15,-5 19,-1 20,-1 17,0 14,-1 11,1 13,2 17,2 18,3 26,1 19,0 15,-2 10,-1 2,-2-5,0-13,-3-18,-2-19,1-20,0-17,1-13,0-9</inkml:trace>
  <inkml:trace contextRef="#ctx0" brushRef="#br0" timeOffset="5182.94">7637 428,'-84'7,"-62"3,-49 0,8-2</inkml:trace>
  <inkml:trace contextRef="#ctx0" brushRef="#br0" timeOffset="6331.85">8326 203,'-73'5,"-34"1,-9 0,9-1,15-2,19-1,19-1,15 0,12-1,8-1,7 3,1 1,2 4,0 5,1 8,0 10,1 9,1 9,3 6,1 6,0 7,0 3,0-1,0-3,-1-7,1-8,0-11,1-8,0-7,-1-5,0-2,0-5,0-4</inkml:trace>
  <inkml:trace contextRef="#ctx0" brushRef="#br0" timeOffset="6751.6">8099 699,'-73'4,"-37"4,-13 0,15-2,25-1</inkml:trace>
  <inkml:trace contextRef="#ctx0" brushRef="#br0" timeOffset="7914.11">8245 879,'6'-61,"2"-28,0-3,0 10,-2 17,-1 18,-2 15,-1 13,-2 10,2 6,2 4,1 3,3 6,5 7,7 11,7 12,6 11,7 8,3 2,1 1,-3-4,-3-7,-6-12,-6-10,-6-8,-5-7,-4-6,-1-3,-2-4,1-3,3-4,1-6,4-8,2-9,1-8,0-11,-2-8,-3-8,-3-1,-2 4,-4 6,-2 7,-2 8,-1 7,-1 7,0 5,-1 7,0 6,1 4</inkml:trace>
  <inkml:trace contextRef="#ctx0" brushRef="#br0" timeOffset="8802.35">9169 897,'-24'-52,"-9"-23,2-5,7 4,9 12,11 11,9 11,6 9,5 7,3 6,1 6,0 4,0 5,-1 3,-1 3,-1 3,-2 2,-2 2,-4 1,-2 2,-6 4,-8 4,-10 4,-10 4,-7 1,-2-1,2-2,4-3,5-5,7-4,6-5</inkml:trace>
  <inkml:trace contextRef="#ctx0" brushRef="#br0" timeOffset="9494.85">9323 699,'48'0,"15"0</inkml:trace>
  <inkml:trace contextRef="#ctx0" brushRef="#br0" timeOffset="10208.2">10139 366,'-48'30,"-18"16,-1 3,11-1,14-5,16-4,18-4,15 1,16 0,14-2,9-1,10-6,-5-7,-11-6</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08-20T18:14:09.419"/>
    </inkml:context>
    <inkml:brush xml:id="br0">
      <inkml:brushProperty name="width" value="0.05" units="cm"/>
      <inkml:brushProperty name="height" value="0.3" units="cm"/>
      <inkml:brushProperty name="ignorePressure" value="1"/>
      <inkml:brushProperty name="inkEffects" value="pencil"/>
    </inkml:brush>
  </inkml:definitions>
  <inkml:trace contextRef="#ctx0" brushRef="#br0">1 1,'4'60,"2"23,0 2,-1-10,-2-12,0-13,-2-10,-1-7,2-5,1-3,1-2,-1-2,-1-3,0-3,-1-3,-1-1,0-2,0 0,0-2,0-2,0-2,0-2,0 0,0-1,0-1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Stout</dc:creator>
  <cp:keywords/>
  <dc:description/>
  <cp:lastModifiedBy>Brittany Stout</cp:lastModifiedBy>
  <cp:revision>3</cp:revision>
  <dcterms:created xsi:type="dcterms:W3CDTF">2024-08-19T00:23:00Z</dcterms:created>
  <dcterms:modified xsi:type="dcterms:W3CDTF">2024-08-20T18:14:00Z</dcterms:modified>
</cp:coreProperties>
</file>